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A2" w:rsidRDefault="00DA74D1">
      <w:pPr>
        <w:widowControl/>
        <w:jc w:val="center"/>
        <w:rPr>
          <w:rFonts w:ascii="宋体" w:eastAsia="宋体" w:hAnsi="宋体" w:cs="宋体"/>
          <w:b/>
          <w:color w:val="000000"/>
          <w:kern w:val="0"/>
          <w:sz w:val="44"/>
          <w:szCs w:val="44"/>
        </w:rPr>
      </w:pPr>
      <w:r>
        <w:rPr>
          <w:rFonts w:ascii="宋体" w:eastAsia="宋体" w:hAnsi="宋体" w:cs="宋体" w:hint="eastAsia"/>
          <w:b/>
          <w:color w:val="000000"/>
          <w:kern w:val="0"/>
          <w:sz w:val="44"/>
          <w:szCs w:val="44"/>
        </w:rPr>
        <w:t>用户需求书</w:t>
      </w:r>
    </w:p>
    <w:p w:rsidR="00971DA2" w:rsidRDefault="00971DA2">
      <w:pPr>
        <w:widowControl/>
        <w:jc w:val="center"/>
        <w:rPr>
          <w:sz w:val="28"/>
        </w:rPr>
      </w:pPr>
    </w:p>
    <w:p w:rsidR="00971DA2" w:rsidRDefault="00DA74D1">
      <w:pPr>
        <w:widowControl/>
        <w:ind w:firstLineChars="200" w:firstLine="643"/>
        <w:jc w:val="left"/>
        <w:rPr>
          <w:sz w:val="24"/>
        </w:rPr>
      </w:pPr>
      <w:r>
        <w:rPr>
          <w:rFonts w:ascii="宋体" w:eastAsia="宋体" w:hAnsi="宋体" w:cs="宋体" w:hint="eastAsia"/>
          <w:b/>
          <w:color w:val="000000"/>
          <w:kern w:val="0"/>
          <w:sz w:val="32"/>
        </w:rPr>
        <w:t>一、项目概况</w:t>
      </w:r>
    </w:p>
    <w:p w:rsidR="00971DA2" w:rsidRDefault="00DA74D1">
      <w:pPr>
        <w:widowControl/>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杭州种业集团有限公司因工作需要，拟通过选聘确定</w:t>
      </w:r>
      <w:r>
        <w:rPr>
          <w:rFonts w:ascii="宋体" w:eastAsia="宋体" w:hAnsi="宋体" w:cs="宋体" w:hint="eastAsia"/>
          <w:color w:val="000000"/>
          <w:kern w:val="0"/>
          <w:sz w:val="28"/>
          <w:szCs w:val="28"/>
        </w:rPr>
        <w:t xml:space="preserve"> 2019-2021 </w:t>
      </w:r>
      <w:r>
        <w:rPr>
          <w:rFonts w:ascii="宋体" w:eastAsia="宋体" w:hAnsi="宋体" w:cs="宋体" w:hint="eastAsia"/>
          <w:color w:val="000000"/>
          <w:kern w:val="0"/>
          <w:sz w:val="28"/>
          <w:szCs w:val="28"/>
        </w:rPr>
        <w:t>年度承担集团本级及下属合并范围内全资、控股子企业财务报告审计业务中介机构。审计项目内容包含企业年度财务报表审计以及企业负责人经营业绩考核（含全面预算主要指标偏差度及企业负责人履职待遇和业务支出）、职工工资总额预算、企业所得税年度鉴证等专项审计及审核，出具年度审计报告</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含合并</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、鉴证报告、各专项报告以及管理建议书。具体工作要求以市国资委及集团公司年度预、决算工作会议布置的内容为准。</w:t>
      </w:r>
    </w:p>
    <w:p w:rsidR="00971DA2" w:rsidRDefault="00DA74D1">
      <w:pPr>
        <w:widowControl/>
        <w:ind w:firstLineChars="200" w:firstLine="560"/>
        <w:jc w:val="left"/>
        <w:rPr>
          <w:sz w:val="28"/>
          <w:szCs w:val="28"/>
        </w:rPr>
      </w:pPr>
      <w:r>
        <w:rPr>
          <w:rFonts w:ascii="宋体" w:eastAsia="宋体" w:hAnsi="宋体" w:cs="宋体" w:hint="eastAsia"/>
          <w:color w:val="000000"/>
          <w:kern w:val="0"/>
          <w:sz w:val="28"/>
          <w:szCs w:val="28"/>
        </w:rPr>
        <w:t>本次招标范围所涉及被审计企业共包括</w:t>
      </w:r>
      <w:r>
        <w:rPr>
          <w:rFonts w:ascii="宋体" w:eastAsia="宋体" w:hAnsi="宋体" w:cs="宋体" w:hint="eastAsia"/>
          <w:color w:val="000000"/>
          <w:kern w:val="0"/>
          <w:sz w:val="28"/>
          <w:szCs w:val="28"/>
        </w:rPr>
        <w:t xml:space="preserve">3 </w:t>
      </w:r>
      <w:r>
        <w:rPr>
          <w:rFonts w:ascii="宋体" w:eastAsia="宋体" w:hAnsi="宋体" w:cs="宋体" w:hint="eastAsia"/>
          <w:color w:val="000000"/>
          <w:kern w:val="0"/>
          <w:sz w:val="28"/>
          <w:szCs w:val="28"/>
        </w:rPr>
        <w:t>家，详见《被审计企业一览表》。</w:t>
      </w:r>
      <w:r>
        <w:rPr>
          <w:rFonts w:ascii="宋体" w:eastAsia="宋体" w:hAnsi="宋体" w:cs="宋体" w:hint="eastAsia"/>
          <w:color w:val="000000"/>
          <w:kern w:val="0"/>
          <w:sz w:val="28"/>
          <w:szCs w:val="28"/>
        </w:rPr>
        <w:t xml:space="preserve"> </w:t>
      </w:r>
    </w:p>
    <w:p w:rsidR="00971DA2" w:rsidRDefault="00DA74D1">
      <w:pPr>
        <w:widowControl/>
        <w:ind w:firstLineChars="200" w:firstLine="562"/>
        <w:jc w:val="center"/>
        <w:rPr>
          <w:sz w:val="28"/>
          <w:szCs w:val="28"/>
        </w:rPr>
      </w:pPr>
      <w:r>
        <w:rPr>
          <w:rFonts w:ascii="宋体" w:eastAsia="宋体" w:hAnsi="宋体" w:cs="宋体" w:hint="eastAsia"/>
          <w:b/>
          <w:color w:val="000000"/>
          <w:kern w:val="0"/>
          <w:sz w:val="28"/>
          <w:szCs w:val="28"/>
        </w:rPr>
        <w:t>被审计单位一览表</w:t>
      </w:r>
    </w:p>
    <w:tbl>
      <w:tblPr>
        <w:tblStyle w:val="a5"/>
        <w:tblW w:w="0" w:type="auto"/>
        <w:tblLook w:val="04A0"/>
      </w:tblPr>
      <w:tblGrid>
        <w:gridCol w:w="675"/>
        <w:gridCol w:w="2694"/>
        <w:gridCol w:w="891"/>
        <w:gridCol w:w="1420"/>
        <w:gridCol w:w="1421"/>
        <w:gridCol w:w="1421"/>
      </w:tblGrid>
      <w:tr w:rsidR="00971DA2">
        <w:trPr>
          <w:trHeight w:val="589"/>
        </w:trPr>
        <w:tc>
          <w:tcPr>
            <w:tcW w:w="675"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序号</w:t>
            </w:r>
          </w:p>
        </w:tc>
        <w:tc>
          <w:tcPr>
            <w:tcW w:w="2694"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被审计单位名称</w:t>
            </w:r>
          </w:p>
        </w:tc>
        <w:tc>
          <w:tcPr>
            <w:tcW w:w="89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级次</w:t>
            </w:r>
          </w:p>
        </w:tc>
        <w:tc>
          <w:tcPr>
            <w:tcW w:w="1420"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总资产</w:t>
            </w:r>
          </w:p>
        </w:tc>
        <w:tc>
          <w:tcPr>
            <w:tcW w:w="142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净资产</w:t>
            </w:r>
          </w:p>
        </w:tc>
        <w:tc>
          <w:tcPr>
            <w:tcW w:w="142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营业收入</w:t>
            </w:r>
          </w:p>
        </w:tc>
      </w:tr>
      <w:tr w:rsidR="00971DA2">
        <w:trPr>
          <w:trHeight w:val="517"/>
        </w:trPr>
        <w:tc>
          <w:tcPr>
            <w:tcW w:w="675"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1</w:t>
            </w:r>
          </w:p>
        </w:tc>
        <w:tc>
          <w:tcPr>
            <w:tcW w:w="2694"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杭州种业集团有限公司</w:t>
            </w:r>
          </w:p>
        </w:tc>
        <w:tc>
          <w:tcPr>
            <w:tcW w:w="89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1</w:t>
            </w:r>
          </w:p>
        </w:tc>
        <w:tc>
          <w:tcPr>
            <w:tcW w:w="1420"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22809.55</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19992.74</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4889.99</w:t>
            </w:r>
          </w:p>
        </w:tc>
      </w:tr>
      <w:tr w:rsidR="00971DA2">
        <w:trPr>
          <w:trHeight w:val="567"/>
        </w:trPr>
        <w:tc>
          <w:tcPr>
            <w:tcW w:w="675"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2</w:t>
            </w:r>
          </w:p>
        </w:tc>
        <w:tc>
          <w:tcPr>
            <w:tcW w:w="2694" w:type="dxa"/>
            <w:vAlign w:val="center"/>
          </w:tcPr>
          <w:p w:rsidR="00971DA2" w:rsidRDefault="00DA74D1">
            <w:pPr>
              <w:widowControl/>
              <w:jc w:val="center"/>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杭州利丰种子有限公司</w:t>
            </w:r>
          </w:p>
        </w:tc>
        <w:tc>
          <w:tcPr>
            <w:tcW w:w="89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2</w:t>
            </w:r>
          </w:p>
        </w:tc>
        <w:tc>
          <w:tcPr>
            <w:tcW w:w="1420"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4788.51</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3387.59</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3922.97</w:t>
            </w:r>
          </w:p>
        </w:tc>
      </w:tr>
      <w:tr w:rsidR="00971DA2">
        <w:tc>
          <w:tcPr>
            <w:tcW w:w="675"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3</w:t>
            </w:r>
          </w:p>
        </w:tc>
        <w:tc>
          <w:tcPr>
            <w:tcW w:w="2694"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杭州利丰种业科学研究院有限公司</w:t>
            </w:r>
          </w:p>
        </w:tc>
        <w:tc>
          <w:tcPr>
            <w:tcW w:w="891" w:type="dxa"/>
            <w:vAlign w:val="center"/>
          </w:tcPr>
          <w:p w:rsidR="00971DA2" w:rsidRDefault="00DA74D1">
            <w:pPr>
              <w:widowControl/>
              <w:jc w:val="center"/>
              <w:rPr>
                <w:rFonts w:ascii="宋体" w:eastAsia="宋体" w:hAnsi="宋体" w:cs="宋体"/>
                <w:color w:val="000000"/>
                <w:kern w:val="0"/>
                <w:sz w:val="24"/>
                <w:szCs w:val="28"/>
              </w:rPr>
            </w:pPr>
            <w:r>
              <w:rPr>
                <w:rFonts w:ascii="宋体" w:eastAsia="宋体" w:hAnsi="宋体" w:cs="宋体" w:hint="eastAsia"/>
                <w:color w:val="000000"/>
                <w:kern w:val="0"/>
                <w:sz w:val="24"/>
                <w:szCs w:val="28"/>
              </w:rPr>
              <w:t>2</w:t>
            </w:r>
          </w:p>
        </w:tc>
        <w:tc>
          <w:tcPr>
            <w:tcW w:w="1420"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0.00</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0.00</w:t>
            </w:r>
          </w:p>
        </w:tc>
        <w:tc>
          <w:tcPr>
            <w:tcW w:w="1421" w:type="dxa"/>
            <w:vAlign w:val="center"/>
          </w:tcPr>
          <w:p w:rsidR="00971DA2" w:rsidRDefault="00DA74D1">
            <w:pPr>
              <w:widowControl/>
              <w:jc w:val="right"/>
              <w:rPr>
                <w:rFonts w:ascii="宋体" w:eastAsia="宋体" w:hAnsi="宋体" w:cs="宋体"/>
                <w:color w:val="000000"/>
                <w:kern w:val="0"/>
                <w:sz w:val="24"/>
                <w:szCs w:val="28"/>
              </w:rPr>
            </w:pPr>
            <w:r>
              <w:rPr>
                <w:rFonts w:asciiTheme="minorEastAsia" w:hAnsiTheme="minorEastAsia" w:cstheme="minorEastAsia" w:hint="eastAsia"/>
                <w:color w:val="000000"/>
                <w:kern w:val="0"/>
                <w:sz w:val="24"/>
                <w:szCs w:val="28"/>
              </w:rPr>
              <w:t>0.00</w:t>
            </w:r>
          </w:p>
        </w:tc>
      </w:tr>
    </w:tbl>
    <w:p w:rsidR="008A676B" w:rsidRPr="008A676B" w:rsidRDefault="00DA74D1">
      <w:pPr>
        <w:widowControl/>
        <w:jc w:val="left"/>
        <w:rPr>
          <w:rFonts w:ascii="宋体" w:eastAsia="宋体" w:hAnsi="宋体" w:cs="宋体"/>
          <w:color w:val="000000"/>
          <w:kern w:val="0"/>
          <w:sz w:val="24"/>
          <w:szCs w:val="28"/>
        </w:rPr>
      </w:pPr>
      <w:r>
        <w:rPr>
          <w:rFonts w:ascii="宋体" w:eastAsia="宋体" w:hAnsi="宋体" w:cs="宋体" w:hint="eastAsia"/>
          <w:color w:val="000000"/>
          <w:kern w:val="0"/>
          <w:sz w:val="24"/>
          <w:szCs w:val="28"/>
        </w:rPr>
        <w:t>注：以上数据来源于</w:t>
      </w:r>
      <w:r>
        <w:rPr>
          <w:rFonts w:ascii="Times New Roman" w:eastAsia="宋体" w:hAnsi="Times New Roman" w:cs="Times New Roman"/>
          <w:color w:val="000000"/>
          <w:kern w:val="0"/>
          <w:sz w:val="24"/>
          <w:szCs w:val="28"/>
        </w:rPr>
        <w:t>2018</w:t>
      </w:r>
      <w:r>
        <w:rPr>
          <w:rFonts w:ascii="宋体" w:eastAsia="宋体" w:hAnsi="宋体" w:cs="宋体" w:hint="eastAsia"/>
          <w:color w:val="000000"/>
          <w:kern w:val="0"/>
          <w:sz w:val="24"/>
          <w:szCs w:val="28"/>
        </w:rPr>
        <w:t>年年度财务报表，</w:t>
      </w:r>
      <w:r>
        <w:rPr>
          <w:rFonts w:ascii="宋体" w:eastAsia="宋体" w:hAnsi="宋体" w:cs="宋体" w:hint="eastAsia"/>
          <w:color w:val="000000"/>
          <w:kern w:val="0"/>
          <w:sz w:val="24"/>
          <w:szCs w:val="28"/>
        </w:rPr>
        <w:t>杭州利丰种业科学研究院有限公司目前尚未出具年度审计报告</w:t>
      </w:r>
      <w:r>
        <w:rPr>
          <w:rFonts w:ascii="宋体" w:eastAsia="宋体" w:hAnsi="宋体" w:cs="宋体" w:hint="eastAsia"/>
          <w:color w:val="000000"/>
          <w:kern w:val="0"/>
          <w:sz w:val="24"/>
          <w:szCs w:val="28"/>
        </w:rPr>
        <w:t>。</w:t>
      </w:r>
      <w:r>
        <w:rPr>
          <w:rFonts w:ascii="宋体" w:eastAsia="宋体" w:hAnsi="宋体" w:cs="宋体" w:hint="eastAsia"/>
          <w:color w:val="000000"/>
          <w:kern w:val="0"/>
          <w:sz w:val="24"/>
          <w:szCs w:val="28"/>
        </w:rPr>
        <w:t xml:space="preserve"> </w:t>
      </w:r>
    </w:p>
    <w:p w:rsidR="00971DA2" w:rsidRDefault="00DA74D1">
      <w:pPr>
        <w:widowControl/>
        <w:ind w:firstLineChars="200" w:firstLine="643"/>
        <w:jc w:val="left"/>
        <w:rPr>
          <w:rFonts w:ascii="宋体" w:eastAsia="宋体" w:hAnsi="宋体" w:cs="宋体"/>
          <w:b/>
          <w:color w:val="000000"/>
          <w:kern w:val="0"/>
          <w:sz w:val="32"/>
        </w:rPr>
      </w:pPr>
      <w:r>
        <w:rPr>
          <w:rFonts w:ascii="宋体" w:eastAsia="宋体" w:hAnsi="宋体" w:cs="宋体" w:hint="eastAsia"/>
          <w:b/>
          <w:color w:val="000000"/>
          <w:kern w:val="0"/>
          <w:sz w:val="32"/>
        </w:rPr>
        <w:t>二、服务内容及要求</w:t>
      </w:r>
      <w:r>
        <w:rPr>
          <w:rFonts w:ascii="宋体" w:eastAsia="宋体" w:hAnsi="宋体" w:cs="宋体" w:hint="eastAsia"/>
          <w:b/>
          <w:color w:val="000000"/>
          <w:kern w:val="0"/>
          <w:sz w:val="32"/>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、中标会计师事务所须按要求出具：财务报表审计、工资审计、经营业绩、所得税汇算清缴报告、管理建议</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书等。被审计单位有其他服务内容要求的，则由双方协商实施。</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lastRenderedPageBreak/>
        <w:t>2</w:t>
      </w:r>
      <w:r>
        <w:rPr>
          <w:rFonts w:ascii="宋体" w:eastAsia="宋体" w:hAnsi="宋体" w:cs="宋体" w:hint="eastAsia"/>
          <w:color w:val="000000"/>
          <w:kern w:val="0"/>
          <w:sz w:val="28"/>
          <w:szCs w:val="28"/>
        </w:rPr>
        <w:t>、中介机构开展活动，应当遵守法律、法规、规章的规定，遵守职业道德，遵循自愿、公平、诚实信用的原则。</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、服务内容主要包括：</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根据中国注册会计师独立审计准则以及财政部关于国有企业年度会计报表审计的有关规定，由注册会计师对被审计单位的年度会计报表进行审计，会计师事务所须按照相关规定要求出具审计报告，针对企业内部控制重大缺陷等方面提供管理建议书。</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会计师事务所要对被审计单位的合并报表发表审计意见，若有重大事项，要在审计报告中予以披露。按要求编制报表附注，并确保报表附注中披露的内容及金额与会计报表衔接一致，对关联交易事项要详细披露。</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）根据国有资产经营管理考核的需要，企业负责人经营业绩考核、全面预算主要指标偏差度、工资总额预算、企业负责人履职待遇和业务支出等专项审计，涉税审核鉴证报告和管理建议书等内容。</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4</w:t>
      </w:r>
      <w:r>
        <w:rPr>
          <w:rFonts w:ascii="宋体" w:eastAsia="宋体" w:hAnsi="宋体" w:cs="宋体" w:hint="eastAsia"/>
          <w:color w:val="000000"/>
          <w:kern w:val="0"/>
          <w:sz w:val="28"/>
          <w:szCs w:val="28"/>
        </w:rPr>
        <w:t>）会计师事务所要提高服务意识，根据被审计企业日常工作的需要，加强与企业的合作，并在会计核算、税务、财经法规和经营管理等方面提供咨</w:t>
      </w:r>
      <w:r>
        <w:rPr>
          <w:rFonts w:ascii="宋体" w:eastAsia="宋体" w:hAnsi="宋体" w:cs="宋体" w:hint="eastAsia"/>
          <w:color w:val="000000"/>
          <w:kern w:val="0"/>
          <w:sz w:val="28"/>
          <w:szCs w:val="28"/>
        </w:rPr>
        <w:t>询服务。</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4</w:t>
      </w:r>
      <w:r>
        <w:rPr>
          <w:rFonts w:ascii="宋体" w:eastAsia="宋体" w:hAnsi="宋体" w:cs="宋体" w:hint="eastAsia"/>
          <w:color w:val="000000"/>
          <w:kern w:val="0"/>
          <w:sz w:val="28"/>
          <w:szCs w:val="28"/>
        </w:rPr>
        <w:t>、中标单位负责做好招标人年度合并财务报表审计工作的组织协调和质量控制。</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2"/>
        </w:rPr>
      </w:pP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、中标单位出具的年度财务报表审计报告中的签字注册会计师必须与其投标文件中的项目负责人及审计报告签字注册会计师履历表一致。</w:t>
      </w:r>
    </w:p>
    <w:p w:rsidR="00971DA2" w:rsidRDefault="00DA74D1">
      <w:pPr>
        <w:widowControl/>
        <w:spacing w:line="500" w:lineRule="exact"/>
        <w:ind w:firstLineChars="200" w:firstLine="640"/>
        <w:jc w:val="left"/>
        <w:rPr>
          <w:sz w:val="32"/>
          <w:szCs w:val="32"/>
        </w:rPr>
      </w:pPr>
      <w:r>
        <w:rPr>
          <w:rFonts w:ascii="宋体" w:eastAsia="宋体" w:hAnsi="宋体" w:cs="宋体" w:hint="eastAsia"/>
          <w:color w:val="000000"/>
          <w:kern w:val="0"/>
          <w:sz w:val="32"/>
          <w:szCs w:val="32"/>
        </w:rPr>
        <w:t>三、</w:t>
      </w:r>
      <w:r>
        <w:rPr>
          <w:rFonts w:ascii="宋体" w:eastAsia="宋体" w:hAnsi="宋体" w:cs="宋体" w:hint="eastAsia"/>
          <w:b/>
          <w:color w:val="000000"/>
          <w:kern w:val="0"/>
          <w:sz w:val="32"/>
          <w:szCs w:val="32"/>
        </w:rPr>
        <w:t>服务人员基本素质要求：</w:t>
      </w:r>
      <w:r>
        <w:rPr>
          <w:rFonts w:ascii="宋体" w:eastAsia="宋体" w:hAnsi="宋体" w:cs="宋体" w:hint="eastAsia"/>
          <w:b/>
          <w:color w:val="000000"/>
          <w:kern w:val="0"/>
          <w:sz w:val="32"/>
          <w:szCs w:val="32"/>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、项目负责人员应同时具备丰富的国有企业及资本市场服务经验，具有注册会计师资格证书并有</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年以上执业资历。</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、项目实施过程中，项目团队必须具备</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名及以上具有</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年以上审计经验的注册会计师，主审人员必须国有企业年报审计经验；若</w:t>
      </w:r>
      <w:r>
        <w:rPr>
          <w:rFonts w:ascii="宋体" w:eastAsia="宋体" w:hAnsi="宋体" w:cs="宋体" w:hint="eastAsia"/>
          <w:color w:val="000000"/>
          <w:kern w:val="0"/>
          <w:sz w:val="28"/>
          <w:szCs w:val="28"/>
        </w:rPr>
        <w:lastRenderedPageBreak/>
        <w:t>招标人认为服务人员不能胜任或人员数量不足的，中标供应商应积极响应，按要求进行调换或增加人员以确保按时高效地完成项目。</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4</w:t>
      </w:r>
      <w:r>
        <w:rPr>
          <w:rFonts w:ascii="宋体" w:eastAsia="宋体" w:hAnsi="宋体" w:cs="宋体" w:hint="eastAsia"/>
          <w:color w:val="000000"/>
          <w:kern w:val="0"/>
          <w:sz w:val="28"/>
          <w:szCs w:val="28"/>
        </w:rPr>
        <w:t>、关于项目的审计实施时间及后期修改要求，应积极响应招标人要求，不得故意推诿或拖延。</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、审计过程中，中标供应商应遵守保密原则，否则将承担招标人因此受到的全部损失。</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6</w:t>
      </w:r>
      <w:r>
        <w:rPr>
          <w:rFonts w:ascii="宋体" w:eastAsia="宋体" w:hAnsi="宋体" w:cs="宋体" w:hint="eastAsia"/>
          <w:color w:val="000000"/>
          <w:kern w:val="0"/>
          <w:sz w:val="28"/>
          <w:szCs w:val="28"/>
        </w:rPr>
        <w:t>、投标人</w:t>
      </w:r>
      <w:bookmarkStart w:id="0" w:name="_GoBack"/>
      <w:bookmarkEnd w:id="0"/>
      <w:r>
        <w:rPr>
          <w:rFonts w:ascii="宋体" w:eastAsia="宋体" w:hAnsi="宋体" w:cs="宋体" w:hint="eastAsia"/>
          <w:color w:val="000000"/>
          <w:kern w:val="0"/>
          <w:sz w:val="28"/>
          <w:szCs w:val="28"/>
        </w:rPr>
        <w:t>提供明确的人员，售后服务措施等。</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643"/>
        <w:jc w:val="left"/>
        <w:rPr>
          <w:sz w:val="28"/>
          <w:szCs w:val="28"/>
        </w:rPr>
      </w:pPr>
      <w:r>
        <w:rPr>
          <w:rFonts w:ascii="宋体" w:eastAsia="宋体" w:hAnsi="宋体" w:cs="宋体" w:hint="eastAsia"/>
          <w:b/>
          <w:color w:val="000000"/>
          <w:kern w:val="0"/>
          <w:sz w:val="32"/>
          <w:szCs w:val="28"/>
        </w:rPr>
        <w:t>四、服务期限及进度要求：</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服务期限：合同签订后三年，并按招标人及监管部门进度要求，完成每年的年报审计相关服务。</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643"/>
        <w:jc w:val="left"/>
        <w:rPr>
          <w:sz w:val="32"/>
          <w:szCs w:val="28"/>
        </w:rPr>
      </w:pPr>
      <w:r>
        <w:rPr>
          <w:rFonts w:ascii="宋体" w:eastAsia="宋体" w:hAnsi="宋体" w:cs="宋体" w:hint="eastAsia"/>
          <w:b/>
          <w:color w:val="000000"/>
          <w:kern w:val="0"/>
          <w:sz w:val="32"/>
          <w:szCs w:val="28"/>
        </w:rPr>
        <w:t>五、其他事项：</w:t>
      </w:r>
      <w:r>
        <w:rPr>
          <w:rFonts w:ascii="宋体" w:eastAsia="宋体" w:hAnsi="宋体" w:cs="宋体" w:hint="eastAsia"/>
          <w:b/>
          <w:color w:val="000000"/>
          <w:kern w:val="0"/>
          <w:sz w:val="32"/>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年报审计服务费采用总价包干，投标报价包括但不限于审计费、咨询费、调研费、人工费（包括人员工资、奖金、房补、劳保福利、社保、工伤费、教育培训费、暂住费及处理一切伤亡事故等费用）、食宿与交通、应缴税金和应得利润、突发应急及上级布置的专项任务、完成合同所需不可或缺的工作开支等全部费用。</w:t>
      </w:r>
      <w:r>
        <w:rPr>
          <w:rFonts w:ascii="宋体" w:eastAsia="宋体" w:hAnsi="宋体" w:cs="宋体" w:hint="eastAsia"/>
          <w:color w:val="000000"/>
          <w:kern w:val="0"/>
          <w:sz w:val="28"/>
          <w:szCs w:val="28"/>
        </w:rPr>
        <w:t xml:space="preserve"> </w:t>
      </w:r>
    </w:p>
    <w:p w:rsidR="00971DA2" w:rsidRDefault="00DA74D1">
      <w:pPr>
        <w:widowControl/>
        <w:spacing w:line="500" w:lineRule="exact"/>
        <w:ind w:firstLineChars="200" w:firstLine="560"/>
        <w:jc w:val="left"/>
        <w:rPr>
          <w:sz w:val="28"/>
          <w:szCs w:val="28"/>
        </w:rPr>
      </w:pPr>
      <w:r>
        <w:rPr>
          <w:rFonts w:ascii="宋体" w:eastAsia="宋体" w:hAnsi="宋体" w:cs="宋体" w:hint="eastAsia"/>
          <w:color w:val="000000"/>
          <w:kern w:val="0"/>
          <w:sz w:val="28"/>
          <w:szCs w:val="28"/>
        </w:rPr>
        <w:t>会计师服务费按照服务内容的完成进度支付：审计费用在集团公司认可并收到所有审计报告后支付</w:t>
      </w:r>
      <w:r>
        <w:rPr>
          <w:rFonts w:ascii="Times New Roman" w:eastAsia="宋体" w:hAnsi="Times New Roman" w:cs="Times New Roman"/>
          <w:color w:val="000000"/>
          <w:kern w:val="0"/>
          <w:sz w:val="28"/>
          <w:szCs w:val="28"/>
        </w:rPr>
        <w:t>50%</w:t>
      </w:r>
      <w:r>
        <w:rPr>
          <w:rFonts w:ascii="宋体" w:eastAsia="宋体" w:hAnsi="宋体" w:cs="宋体" w:hint="eastAsia"/>
          <w:color w:val="000000"/>
          <w:kern w:val="0"/>
          <w:sz w:val="28"/>
          <w:szCs w:val="28"/>
        </w:rPr>
        <w:t>，待市国资委及集团公司进行项目</w:t>
      </w:r>
      <w:r>
        <w:rPr>
          <w:rFonts w:ascii="宋体" w:eastAsia="宋体" w:hAnsi="宋体" w:cs="宋体" w:hint="eastAsia"/>
          <w:color w:val="000000"/>
          <w:kern w:val="0"/>
          <w:sz w:val="28"/>
          <w:szCs w:val="28"/>
        </w:rPr>
        <w:t>质量考核后支付</w:t>
      </w:r>
      <w:r>
        <w:rPr>
          <w:rFonts w:ascii="Times New Roman" w:eastAsia="宋体" w:hAnsi="Times New Roman" w:cs="Times New Roman"/>
          <w:color w:val="000000"/>
          <w:kern w:val="0"/>
          <w:sz w:val="28"/>
          <w:szCs w:val="28"/>
        </w:rPr>
        <w:t>50%</w:t>
      </w:r>
      <w:r>
        <w:rPr>
          <w:rFonts w:ascii="宋体" w:eastAsia="宋体" w:hAnsi="宋体" w:cs="宋体" w:hint="eastAsia"/>
          <w:color w:val="000000"/>
          <w:kern w:val="0"/>
          <w:sz w:val="28"/>
          <w:szCs w:val="28"/>
        </w:rPr>
        <w:t>。投标人应根据上述因素自行考虑会计师服务报价。</w:t>
      </w:r>
    </w:p>
    <w:p w:rsidR="00971DA2" w:rsidRDefault="00971DA2">
      <w:pPr>
        <w:spacing w:line="500" w:lineRule="exact"/>
        <w:rPr>
          <w:sz w:val="22"/>
        </w:rPr>
      </w:pPr>
    </w:p>
    <w:sectPr w:rsidR="00971DA2" w:rsidSect="00971D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4D1" w:rsidRDefault="00DA74D1" w:rsidP="008A676B">
      <w:r>
        <w:separator/>
      </w:r>
    </w:p>
  </w:endnote>
  <w:endnote w:type="continuationSeparator" w:id="1">
    <w:p w:rsidR="00DA74D1" w:rsidRDefault="00DA74D1" w:rsidP="008A6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4D1" w:rsidRDefault="00DA74D1" w:rsidP="008A676B">
      <w:r>
        <w:separator/>
      </w:r>
    </w:p>
  </w:footnote>
  <w:footnote w:type="continuationSeparator" w:id="1">
    <w:p w:rsidR="00DA74D1" w:rsidRDefault="00DA74D1" w:rsidP="008A67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6401A"/>
    <w:rsid w:val="0020683F"/>
    <w:rsid w:val="00424228"/>
    <w:rsid w:val="00451E7F"/>
    <w:rsid w:val="00564D3E"/>
    <w:rsid w:val="00582CEC"/>
    <w:rsid w:val="0076401A"/>
    <w:rsid w:val="00882221"/>
    <w:rsid w:val="008A676B"/>
    <w:rsid w:val="00971DA2"/>
    <w:rsid w:val="00DA74D1"/>
    <w:rsid w:val="14522B71"/>
    <w:rsid w:val="45A83D12"/>
    <w:rsid w:val="4B712B01"/>
    <w:rsid w:val="5D216594"/>
    <w:rsid w:val="6533389F"/>
    <w:rsid w:val="6D0C611A"/>
    <w:rsid w:val="6EF22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DA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71DA2"/>
    <w:pPr>
      <w:tabs>
        <w:tab w:val="center" w:pos="4153"/>
        <w:tab w:val="right" w:pos="8306"/>
      </w:tabs>
      <w:snapToGrid w:val="0"/>
      <w:jc w:val="left"/>
    </w:pPr>
    <w:rPr>
      <w:sz w:val="18"/>
      <w:szCs w:val="18"/>
    </w:rPr>
  </w:style>
  <w:style w:type="paragraph" w:styleId="a4">
    <w:name w:val="header"/>
    <w:basedOn w:val="a"/>
    <w:link w:val="Char0"/>
    <w:rsid w:val="00971DA2"/>
    <w:pPr>
      <w:pBdr>
        <w:bottom w:val="single" w:sz="6" w:space="1" w:color="auto"/>
      </w:pBdr>
      <w:tabs>
        <w:tab w:val="center" w:pos="4153"/>
        <w:tab w:val="right" w:pos="8306"/>
      </w:tabs>
      <w:snapToGrid w:val="0"/>
      <w:jc w:val="center"/>
    </w:pPr>
    <w:rPr>
      <w:sz w:val="18"/>
      <w:szCs w:val="18"/>
    </w:rPr>
  </w:style>
  <w:style w:type="table" w:styleId="a5">
    <w:name w:val="Table Grid"/>
    <w:basedOn w:val="a1"/>
    <w:rsid w:val="00971D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rsid w:val="00971DA2"/>
    <w:rPr>
      <w:rFonts w:asciiTheme="minorHAnsi" w:eastAsiaTheme="minorEastAsia" w:hAnsiTheme="minorHAnsi" w:cstheme="minorBidi"/>
      <w:kern w:val="2"/>
      <w:sz w:val="18"/>
      <w:szCs w:val="18"/>
    </w:rPr>
  </w:style>
  <w:style w:type="character" w:customStyle="1" w:styleId="Char">
    <w:name w:val="页脚 Char"/>
    <w:basedOn w:val="a0"/>
    <w:link w:val="a3"/>
    <w:rsid w:val="00971DA2"/>
    <w:rPr>
      <w:rFonts w:asciiTheme="minorHAnsi" w:eastAsiaTheme="minorEastAsia" w:hAnsiTheme="minorHAnsi" w:cstheme="minorBidi"/>
      <w:kern w:val="2"/>
      <w:sz w:val="18"/>
      <w:szCs w:val="18"/>
    </w:rPr>
  </w:style>
  <w:style w:type="paragraph" w:styleId="a6">
    <w:name w:val="List Paragraph"/>
    <w:basedOn w:val="a"/>
    <w:uiPriority w:val="99"/>
    <w:unhideWhenUsed/>
    <w:rsid w:val="00971DA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4</cp:revision>
  <cp:lastPrinted>2019-11-07T01:14:00Z</cp:lastPrinted>
  <dcterms:created xsi:type="dcterms:W3CDTF">2019-11-05T11:21:00Z</dcterms:created>
  <dcterms:modified xsi:type="dcterms:W3CDTF">2019-11-07T01:14:00Z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