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用户需求书</w:t>
      </w:r>
    </w:p>
    <w:p>
      <w:pPr>
        <w:widowControl/>
        <w:jc w:val="center"/>
        <w:rPr>
          <w:sz w:val="28"/>
        </w:rPr>
      </w:pPr>
    </w:p>
    <w:p>
      <w:pPr>
        <w:widowControl/>
        <w:ind w:firstLine="643" w:firstLineChars="200"/>
        <w:jc w:val="left"/>
        <w:rPr>
          <w:sz w:val="24"/>
        </w:rPr>
      </w:pPr>
      <w:r>
        <w:rPr>
          <w:rFonts w:hint="eastAsia" w:ascii="宋体" w:hAnsi="宋体" w:eastAsia="宋体" w:cs="宋体"/>
          <w:b/>
          <w:color w:val="000000"/>
          <w:kern w:val="0"/>
          <w:sz w:val="32"/>
        </w:rPr>
        <w:t>一、项目概况</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杭州种业集团有限公司因工作需要，拟通过选聘确定 </w:t>
      </w:r>
      <w:r>
        <w:rPr>
          <w:rFonts w:hint="eastAsia" w:ascii="宋体" w:hAnsi="宋体" w:eastAsia="宋体" w:cs="宋体"/>
          <w:color w:val="000000"/>
          <w:kern w:val="0"/>
          <w:sz w:val="28"/>
          <w:szCs w:val="28"/>
          <w:lang w:val="en-US" w:eastAsia="zh-CN"/>
        </w:rPr>
        <w:t>2022-2024</w:t>
      </w:r>
      <w:r>
        <w:rPr>
          <w:rFonts w:hint="eastAsia" w:ascii="宋体" w:hAnsi="宋体" w:eastAsia="宋体" w:cs="宋体"/>
          <w:color w:val="000000"/>
          <w:kern w:val="0"/>
          <w:sz w:val="28"/>
          <w:szCs w:val="28"/>
        </w:rPr>
        <w:t xml:space="preserve"> 年度承担集团本级及下属合并范围内全资、控股子企业财务报告审计业务中介机构。审计项目内容包含企业年度财务报表审计以及企业负责人经营业绩考核（含全面预算主要指标偏差度及企业负责人履职待遇和业务支出）、职工工资总额预算、企业所得税年度鉴证等专项审计及审核，出具年度审计报告(含合并)、鉴证报告、各专项报告以及管理建议书。具体工作要求以市国资委及集团公司年度预、决算工作会议布置的内容为准。</w:t>
      </w:r>
    </w:p>
    <w:p>
      <w:pPr>
        <w:widowControl/>
        <w:ind w:firstLine="560" w:firstLineChars="200"/>
        <w:jc w:val="left"/>
        <w:rPr>
          <w:sz w:val="28"/>
          <w:szCs w:val="28"/>
        </w:rPr>
      </w:pPr>
      <w:r>
        <w:rPr>
          <w:rFonts w:hint="eastAsia" w:ascii="宋体" w:hAnsi="宋体" w:eastAsia="宋体" w:cs="宋体"/>
          <w:color w:val="000000"/>
          <w:kern w:val="0"/>
          <w:sz w:val="28"/>
          <w:szCs w:val="28"/>
        </w:rPr>
        <w:t>本次招标范围所涉及被审计企业共包括</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 xml:space="preserve"> 家，详见《被审计企业一览表》。 </w:t>
      </w:r>
    </w:p>
    <w:p>
      <w:pPr>
        <w:widowControl/>
        <w:ind w:firstLine="562" w:firstLineChars="200"/>
        <w:jc w:val="center"/>
        <w:rPr>
          <w:sz w:val="28"/>
          <w:szCs w:val="28"/>
        </w:rPr>
      </w:pPr>
      <w:r>
        <w:rPr>
          <w:rFonts w:hint="eastAsia" w:ascii="宋体" w:hAnsi="宋体" w:eastAsia="宋体" w:cs="宋体"/>
          <w:b/>
          <w:color w:val="000000"/>
          <w:kern w:val="0"/>
          <w:sz w:val="28"/>
          <w:szCs w:val="28"/>
        </w:rPr>
        <w:t>被审计单位一览表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694"/>
        <w:gridCol w:w="891"/>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trPr>
        <w:tc>
          <w:tcPr>
            <w:tcW w:w="675"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序号</w:t>
            </w:r>
          </w:p>
        </w:tc>
        <w:tc>
          <w:tcPr>
            <w:tcW w:w="2694"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被审计单位名称</w:t>
            </w:r>
          </w:p>
        </w:tc>
        <w:tc>
          <w:tcPr>
            <w:tcW w:w="891"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级次</w:t>
            </w:r>
          </w:p>
        </w:tc>
        <w:tc>
          <w:tcPr>
            <w:tcW w:w="1420"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总资产</w:t>
            </w:r>
          </w:p>
        </w:tc>
        <w:tc>
          <w:tcPr>
            <w:tcW w:w="1421"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净资产</w:t>
            </w:r>
          </w:p>
        </w:tc>
        <w:tc>
          <w:tcPr>
            <w:tcW w:w="1421"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营业收入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675"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1</w:t>
            </w:r>
          </w:p>
        </w:tc>
        <w:tc>
          <w:tcPr>
            <w:tcW w:w="2694"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杭州种业集团有限公司</w:t>
            </w:r>
          </w:p>
        </w:tc>
        <w:tc>
          <w:tcPr>
            <w:tcW w:w="891"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1</w:t>
            </w:r>
          </w:p>
        </w:tc>
        <w:tc>
          <w:tcPr>
            <w:tcW w:w="1420" w:type="dxa"/>
            <w:vAlign w:val="center"/>
          </w:tcPr>
          <w:p>
            <w:pPr>
              <w:widowControl/>
              <w:jc w:val="right"/>
              <w:rPr>
                <w:rFonts w:ascii="宋体" w:hAnsi="宋体" w:eastAsia="宋体" w:cs="宋体"/>
                <w:color w:val="000000"/>
                <w:kern w:val="0"/>
                <w:sz w:val="24"/>
                <w:szCs w:val="28"/>
              </w:rPr>
            </w:pPr>
            <w:r>
              <w:rPr>
                <w:rFonts w:hint="eastAsia" w:asciiTheme="minorEastAsia" w:hAnsiTheme="minorEastAsia" w:cstheme="minorEastAsia"/>
                <w:color w:val="000000"/>
                <w:kern w:val="0"/>
                <w:sz w:val="24"/>
                <w:szCs w:val="28"/>
                <w:highlight w:val="none"/>
              </w:rPr>
              <w:t>26446</w:t>
            </w:r>
            <w:r>
              <w:rPr>
                <w:rFonts w:hint="eastAsia" w:asciiTheme="minorEastAsia" w:hAnsiTheme="minorEastAsia" w:cstheme="minorEastAsia"/>
                <w:color w:val="000000"/>
                <w:kern w:val="0"/>
                <w:sz w:val="24"/>
                <w:szCs w:val="28"/>
                <w:highlight w:val="none"/>
                <w:lang w:val="en-US" w:eastAsia="zh-CN"/>
              </w:rPr>
              <w:t>.</w:t>
            </w:r>
            <w:r>
              <w:rPr>
                <w:rFonts w:hint="eastAsia" w:asciiTheme="minorEastAsia" w:hAnsiTheme="minorEastAsia" w:cstheme="minorEastAsia"/>
                <w:color w:val="000000"/>
                <w:kern w:val="0"/>
                <w:sz w:val="24"/>
                <w:szCs w:val="28"/>
                <w:highlight w:val="none"/>
              </w:rPr>
              <w:t>20</w:t>
            </w:r>
          </w:p>
        </w:tc>
        <w:tc>
          <w:tcPr>
            <w:tcW w:w="1421" w:type="dxa"/>
            <w:vAlign w:val="center"/>
          </w:tcPr>
          <w:p>
            <w:pPr>
              <w:widowControl/>
              <w:jc w:val="right"/>
              <w:rPr>
                <w:rFonts w:hint="eastAsia" w:ascii="宋体" w:hAnsi="宋体" w:cs="宋体" w:eastAsiaTheme="minorEastAsia"/>
                <w:color w:val="000000"/>
                <w:kern w:val="0"/>
                <w:sz w:val="24"/>
                <w:szCs w:val="28"/>
                <w:lang w:val="en-US" w:eastAsia="zh-CN"/>
              </w:rPr>
            </w:pPr>
            <w:r>
              <w:rPr>
                <w:rFonts w:hint="eastAsia" w:asciiTheme="minorEastAsia" w:hAnsiTheme="minorEastAsia" w:cstheme="minorEastAsia"/>
                <w:color w:val="000000"/>
                <w:kern w:val="0"/>
                <w:sz w:val="24"/>
                <w:szCs w:val="28"/>
              </w:rPr>
              <w:t>22687</w:t>
            </w:r>
            <w:r>
              <w:rPr>
                <w:rFonts w:hint="eastAsia" w:asciiTheme="minorEastAsia" w:hAnsiTheme="minorEastAsia" w:cstheme="minorEastAsia"/>
                <w:color w:val="000000"/>
                <w:kern w:val="0"/>
                <w:sz w:val="24"/>
                <w:szCs w:val="28"/>
                <w:lang w:val="en-US" w:eastAsia="zh-CN"/>
              </w:rPr>
              <w:t>.</w:t>
            </w:r>
            <w:r>
              <w:rPr>
                <w:rFonts w:hint="eastAsia" w:asciiTheme="minorEastAsia" w:hAnsiTheme="minorEastAsia" w:cstheme="minorEastAsia"/>
                <w:color w:val="000000"/>
                <w:kern w:val="0"/>
                <w:sz w:val="24"/>
                <w:szCs w:val="28"/>
              </w:rPr>
              <w:t>8</w:t>
            </w:r>
            <w:r>
              <w:rPr>
                <w:rFonts w:hint="eastAsia" w:asciiTheme="minorEastAsia" w:hAnsiTheme="minorEastAsia" w:cstheme="minorEastAsia"/>
                <w:color w:val="000000"/>
                <w:kern w:val="0"/>
                <w:sz w:val="24"/>
                <w:szCs w:val="28"/>
                <w:lang w:val="en-US" w:eastAsia="zh-CN"/>
              </w:rPr>
              <w:t>6</w:t>
            </w:r>
          </w:p>
        </w:tc>
        <w:tc>
          <w:tcPr>
            <w:tcW w:w="1421" w:type="dxa"/>
            <w:vAlign w:val="center"/>
          </w:tcPr>
          <w:p>
            <w:pPr>
              <w:widowControl/>
              <w:jc w:val="right"/>
              <w:rPr>
                <w:rFonts w:ascii="宋体" w:hAnsi="宋体" w:eastAsia="宋体" w:cs="宋体"/>
                <w:color w:val="000000"/>
                <w:kern w:val="0"/>
                <w:sz w:val="24"/>
                <w:szCs w:val="28"/>
              </w:rPr>
            </w:pPr>
            <w:r>
              <w:rPr>
                <w:rFonts w:hint="eastAsia" w:asciiTheme="minorEastAsia" w:hAnsiTheme="minorEastAsia" w:cstheme="minorEastAsia"/>
                <w:color w:val="000000"/>
                <w:kern w:val="0"/>
                <w:sz w:val="24"/>
                <w:szCs w:val="28"/>
              </w:rPr>
              <w:t>3350</w:t>
            </w:r>
            <w:r>
              <w:rPr>
                <w:rFonts w:hint="eastAsia" w:asciiTheme="minorEastAsia" w:hAnsiTheme="minorEastAsia" w:cstheme="minorEastAsia"/>
                <w:color w:val="000000"/>
                <w:kern w:val="0"/>
                <w:sz w:val="24"/>
                <w:szCs w:val="28"/>
                <w:lang w:val="en-US" w:eastAsia="zh-CN"/>
              </w:rPr>
              <w:t>.</w:t>
            </w:r>
            <w:r>
              <w:rPr>
                <w:rFonts w:hint="eastAsia" w:asciiTheme="minorEastAsia" w:hAnsiTheme="minorEastAsia" w:cstheme="minorEastAsia"/>
                <w:color w:val="000000"/>
                <w:kern w:val="0"/>
                <w:sz w:val="24"/>
                <w:szCs w:val="28"/>
              </w:rPr>
              <w:t>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675"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2</w:t>
            </w:r>
          </w:p>
        </w:tc>
        <w:tc>
          <w:tcPr>
            <w:tcW w:w="2694" w:type="dxa"/>
            <w:vAlign w:val="center"/>
          </w:tcPr>
          <w:p>
            <w:pPr>
              <w:widowControl/>
              <w:jc w:val="center"/>
              <w:rPr>
                <w:rFonts w:ascii="宋体" w:hAnsi="宋体" w:eastAsia="宋体" w:cs="宋体"/>
                <w:color w:val="000000"/>
                <w:kern w:val="0"/>
                <w:sz w:val="24"/>
                <w:szCs w:val="28"/>
              </w:rPr>
            </w:pPr>
            <w:r>
              <w:rPr>
                <w:rFonts w:hint="eastAsia" w:asciiTheme="minorEastAsia" w:hAnsiTheme="minorEastAsia" w:cstheme="minorEastAsia"/>
                <w:color w:val="000000"/>
                <w:kern w:val="0"/>
                <w:sz w:val="24"/>
                <w:szCs w:val="28"/>
              </w:rPr>
              <w:t>杭州利丰种子有限公司</w:t>
            </w:r>
          </w:p>
        </w:tc>
        <w:tc>
          <w:tcPr>
            <w:tcW w:w="891"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2</w:t>
            </w:r>
          </w:p>
        </w:tc>
        <w:tc>
          <w:tcPr>
            <w:tcW w:w="1420" w:type="dxa"/>
            <w:vAlign w:val="center"/>
          </w:tcPr>
          <w:p>
            <w:pPr>
              <w:widowControl/>
              <w:jc w:val="right"/>
              <w:rPr>
                <w:rFonts w:hint="eastAsia" w:ascii="宋体" w:hAnsi="宋体" w:cs="宋体" w:eastAsiaTheme="minorEastAsia"/>
                <w:color w:val="000000"/>
                <w:kern w:val="0"/>
                <w:sz w:val="24"/>
                <w:szCs w:val="28"/>
                <w:lang w:eastAsia="zh-CN"/>
              </w:rPr>
            </w:pPr>
            <w:r>
              <w:rPr>
                <w:rFonts w:hint="eastAsia" w:asciiTheme="minorEastAsia" w:hAnsiTheme="minorEastAsia" w:cstheme="minorEastAsia"/>
                <w:color w:val="000000"/>
                <w:kern w:val="0"/>
                <w:sz w:val="24"/>
                <w:szCs w:val="28"/>
              </w:rPr>
              <w:t>4922</w:t>
            </w:r>
            <w:r>
              <w:rPr>
                <w:rFonts w:hint="eastAsia" w:asciiTheme="minorEastAsia" w:hAnsiTheme="minorEastAsia" w:cstheme="minorEastAsia"/>
                <w:color w:val="000000"/>
                <w:kern w:val="0"/>
                <w:sz w:val="24"/>
                <w:szCs w:val="28"/>
                <w:lang w:val="en-US" w:eastAsia="zh-CN"/>
              </w:rPr>
              <w:t>.</w:t>
            </w:r>
            <w:r>
              <w:rPr>
                <w:rFonts w:hint="eastAsia" w:asciiTheme="minorEastAsia" w:hAnsiTheme="minorEastAsia" w:cstheme="minorEastAsia"/>
                <w:color w:val="000000"/>
                <w:kern w:val="0"/>
                <w:sz w:val="24"/>
                <w:szCs w:val="28"/>
              </w:rPr>
              <w:t>7</w:t>
            </w:r>
            <w:r>
              <w:rPr>
                <w:rFonts w:hint="eastAsia" w:asciiTheme="minorEastAsia" w:hAnsiTheme="minorEastAsia" w:cstheme="minorEastAsia"/>
                <w:color w:val="000000"/>
                <w:kern w:val="0"/>
                <w:sz w:val="24"/>
                <w:szCs w:val="28"/>
                <w:lang w:val="en-US" w:eastAsia="zh-CN"/>
              </w:rPr>
              <w:t>7</w:t>
            </w:r>
          </w:p>
        </w:tc>
        <w:tc>
          <w:tcPr>
            <w:tcW w:w="1421" w:type="dxa"/>
            <w:vAlign w:val="center"/>
          </w:tcPr>
          <w:p>
            <w:pPr>
              <w:widowControl/>
              <w:jc w:val="right"/>
              <w:rPr>
                <w:rFonts w:hint="eastAsia" w:ascii="宋体" w:hAnsi="宋体" w:cs="宋体" w:eastAsiaTheme="minorEastAsia"/>
                <w:color w:val="000000"/>
                <w:kern w:val="0"/>
                <w:sz w:val="24"/>
                <w:szCs w:val="28"/>
                <w:lang w:val="en-US" w:eastAsia="zh-CN"/>
              </w:rPr>
            </w:pPr>
            <w:r>
              <w:rPr>
                <w:rFonts w:hint="eastAsia" w:asciiTheme="minorEastAsia" w:hAnsiTheme="minorEastAsia" w:cstheme="minorEastAsia"/>
                <w:color w:val="000000"/>
                <w:kern w:val="0"/>
                <w:sz w:val="24"/>
                <w:szCs w:val="28"/>
              </w:rPr>
              <w:t>3715</w:t>
            </w:r>
            <w:r>
              <w:rPr>
                <w:rFonts w:hint="eastAsia" w:asciiTheme="minorEastAsia" w:hAnsiTheme="minorEastAsia" w:cstheme="minorEastAsia"/>
                <w:color w:val="000000"/>
                <w:kern w:val="0"/>
                <w:sz w:val="24"/>
                <w:szCs w:val="28"/>
                <w:lang w:val="en-US" w:eastAsia="zh-CN"/>
              </w:rPr>
              <w:t>.</w:t>
            </w:r>
            <w:r>
              <w:rPr>
                <w:rFonts w:hint="eastAsia" w:asciiTheme="minorEastAsia" w:hAnsiTheme="minorEastAsia" w:cstheme="minorEastAsia"/>
                <w:color w:val="000000"/>
                <w:kern w:val="0"/>
                <w:sz w:val="24"/>
                <w:szCs w:val="28"/>
              </w:rPr>
              <w:t>4</w:t>
            </w:r>
            <w:r>
              <w:rPr>
                <w:rFonts w:hint="eastAsia" w:asciiTheme="minorEastAsia" w:hAnsiTheme="minorEastAsia" w:cstheme="minorEastAsia"/>
                <w:color w:val="000000"/>
                <w:kern w:val="0"/>
                <w:sz w:val="24"/>
                <w:szCs w:val="28"/>
                <w:lang w:val="en-US" w:eastAsia="zh-CN"/>
              </w:rPr>
              <w:t>9</w:t>
            </w:r>
          </w:p>
        </w:tc>
        <w:tc>
          <w:tcPr>
            <w:tcW w:w="1421" w:type="dxa"/>
            <w:vAlign w:val="center"/>
          </w:tcPr>
          <w:p>
            <w:pPr>
              <w:widowControl/>
              <w:jc w:val="right"/>
              <w:rPr>
                <w:rFonts w:hint="eastAsia" w:ascii="宋体" w:hAnsi="宋体" w:cs="宋体" w:eastAsiaTheme="minorEastAsia"/>
                <w:color w:val="000000"/>
                <w:kern w:val="0"/>
                <w:sz w:val="24"/>
                <w:szCs w:val="28"/>
                <w:lang w:eastAsia="zh-CN"/>
              </w:rPr>
            </w:pPr>
            <w:r>
              <w:rPr>
                <w:rFonts w:hint="eastAsia" w:asciiTheme="minorEastAsia" w:hAnsiTheme="minorEastAsia" w:cstheme="minorEastAsia"/>
                <w:color w:val="000000"/>
                <w:kern w:val="0"/>
                <w:sz w:val="24"/>
                <w:szCs w:val="28"/>
              </w:rPr>
              <w:t>5718</w:t>
            </w:r>
            <w:r>
              <w:rPr>
                <w:rFonts w:hint="eastAsia" w:asciiTheme="minorEastAsia" w:hAnsiTheme="minorEastAsia" w:cstheme="minorEastAsia"/>
                <w:color w:val="000000"/>
                <w:kern w:val="0"/>
                <w:sz w:val="24"/>
                <w:szCs w:val="28"/>
                <w:lang w:val="en-US" w:eastAsia="zh-CN"/>
              </w:rPr>
              <w:t>.</w:t>
            </w:r>
            <w:r>
              <w:rPr>
                <w:rFonts w:hint="eastAsia" w:asciiTheme="minorEastAsia" w:hAnsiTheme="minorEastAsia" w:cstheme="minorEastAsia"/>
                <w:color w:val="000000"/>
                <w:kern w:val="0"/>
                <w:sz w:val="24"/>
                <w:szCs w:val="28"/>
              </w:rPr>
              <w:t>2</w:t>
            </w:r>
            <w:r>
              <w:rPr>
                <w:rFonts w:hint="eastAsia" w:asciiTheme="minorEastAsia" w:hAnsiTheme="minorEastAsia" w:cstheme="minorEastAsia"/>
                <w:color w:val="000000"/>
                <w:kern w:val="0"/>
                <w:sz w:val="24"/>
                <w:szCs w:val="28"/>
                <w:lang w:val="en-US" w:eastAsia="zh-CN"/>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3</w:t>
            </w:r>
          </w:p>
        </w:tc>
        <w:tc>
          <w:tcPr>
            <w:tcW w:w="2694"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杭州利丰种业科学研究院有限公司</w:t>
            </w:r>
          </w:p>
        </w:tc>
        <w:tc>
          <w:tcPr>
            <w:tcW w:w="891" w:type="dxa"/>
            <w:vAlign w:val="center"/>
          </w:tcPr>
          <w:p>
            <w:pPr>
              <w:widowControl/>
              <w:jc w:val="center"/>
              <w:rPr>
                <w:rFonts w:ascii="宋体" w:hAnsi="宋体" w:eastAsia="宋体" w:cs="宋体"/>
                <w:color w:val="000000"/>
                <w:kern w:val="0"/>
                <w:sz w:val="24"/>
                <w:szCs w:val="28"/>
              </w:rPr>
            </w:pPr>
            <w:r>
              <w:rPr>
                <w:rFonts w:hint="eastAsia" w:ascii="宋体" w:hAnsi="宋体" w:eastAsia="宋体" w:cs="宋体"/>
                <w:color w:val="000000"/>
                <w:kern w:val="0"/>
                <w:sz w:val="24"/>
                <w:szCs w:val="28"/>
              </w:rPr>
              <w:t>2</w:t>
            </w:r>
          </w:p>
        </w:tc>
        <w:tc>
          <w:tcPr>
            <w:tcW w:w="1420" w:type="dxa"/>
            <w:vAlign w:val="center"/>
          </w:tcPr>
          <w:p>
            <w:pPr>
              <w:widowControl/>
              <w:jc w:val="right"/>
              <w:rPr>
                <w:rFonts w:hint="eastAsia" w:ascii="宋体" w:hAnsi="宋体" w:eastAsia="宋体" w:cs="宋体"/>
                <w:color w:val="000000"/>
                <w:kern w:val="0"/>
                <w:sz w:val="24"/>
                <w:szCs w:val="28"/>
                <w:lang w:eastAsia="zh-CN"/>
              </w:rPr>
            </w:pPr>
            <w:r>
              <w:rPr>
                <w:rFonts w:hint="eastAsia" w:ascii="宋体" w:hAnsi="宋体" w:eastAsia="宋体" w:cs="宋体"/>
                <w:color w:val="000000"/>
                <w:kern w:val="0"/>
                <w:sz w:val="24"/>
                <w:szCs w:val="28"/>
              </w:rPr>
              <w:t>1093</w:t>
            </w:r>
            <w:r>
              <w:rPr>
                <w:rFonts w:hint="eastAsia" w:ascii="宋体" w:hAnsi="宋体" w:eastAsia="宋体" w:cs="宋体"/>
                <w:color w:val="000000"/>
                <w:kern w:val="0"/>
                <w:sz w:val="24"/>
                <w:szCs w:val="28"/>
                <w:lang w:val="en-US" w:eastAsia="zh-CN"/>
              </w:rPr>
              <w:t>.</w:t>
            </w:r>
            <w:r>
              <w:rPr>
                <w:rFonts w:hint="eastAsia" w:ascii="宋体" w:hAnsi="宋体" w:eastAsia="宋体" w:cs="宋体"/>
                <w:color w:val="000000"/>
                <w:kern w:val="0"/>
                <w:sz w:val="24"/>
                <w:szCs w:val="28"/>
              </w:rPr>
              <w:t>8</w:t>
            </w:r>
            <w:r>
              <w:rPr>
                <w:rFonts w:hint="eastAsia" w:ascii="宋体" w:hAnsi="宋体" w:eastAsia="宋体" w:cs="宋体"/>
                <w:color w:val="000000"/>
                <w:kern w:val="0"/>
                <w:sz w:val="24"/>
                <w:szCs w:val="28"/>
                <w:lang w:val="en-US" w:eastAsia="zh-CN"/>
              </w:rPr>
              <w:t>6</w:t>
            </w:r>
          </w:p>
        </w:tc>
        <w:tc>
          <w:tcPr>
            <w:tcW w:w="1421" w:type="dxa"/>
            <w:vAlign w:val="center"/>
          </w:tcPr>
          <w:p>
            <w:pPr>
              <w:widowControl/>
              <w:jc w:val="right"/>
              <w:rPr>
                <w:rFonts w:hint="eastAsia" w:ascii="宋体" w:hAnsi="宋体" w:eastAsia="宋体" w:cs="宋体"/>
                <w:color w:val="000000"/>
                <w:kern w:val="0"/>
                <w:sz w:val="24"/>
                <w:szCs w:val="28"/>
                <w:lang w:eastAsia="zh-CN"/>
              </w:rPr>
            </w:pPr>
            <w:r>
              <w:rPr>
                <w:rFonts w:hint="eastAsia" w:ascii="宋体" w:hAnsi="宋体" w:eastAsia="宋体" w:cs="宋体"/>
                <w:color w:val="000000"/>
                <w:kern w:val="0"/>
                <w:sz w:val="24"/>
                <w:szCs w:val="28"/>
              </w:rPr>
              <w:t>974</w:t>
            </w:r>
            <w:r>
              <w:rPr>
                <w:rFonts w:hint="eastAsia" w:ascii="宋体" w:hAnsi="宋体" w:eastAsia="宋体" w:cs="宋体"/>
                <w:color w:val="000000"/>
                <w:kern w:val="0"/>
                <w:sz w:val="24"/>
                <w:szCs w:val="28"/>
                <w:lang w:val="en-US" w:eastAsia="zh-CN"/>
              </w:rPr>
              <w:t>.</w:t>
            </w:r>
            <w:r>
              <w:rPr>
                <w:rFonts w:hint="eastAsia" w:ascii="宋体" w:hAnsi="宋体" w:eastAsia="宋体" w:cs="宋体"/>
                <w:color w:val="000000"/>
                <w:kern w:val="0"/>
                <w:sz w:val="24"/>
                <w:szCs w:val="28"/>
              </w:rPr>
              <w:t>0</w:t>
            </w:r>
            <w:r>
              <w:rPr>
                <w:rFonts w:hint="eastAsia" w:ascii="宋体" w:hAnsi="宋体" w:eastAsia="宋体" w:cs="宋体"/>
                <w:color w:val="000000"/>
                <w:kern w:val="0"/>
                <w:sz w:val="24"/>
                <w:szCs w:val="28"/>
                <w:lang w:val="en-US" w:eastAsia="zh-CN"/>
              </w:rPr>
              <w:t>8</w:t>
            </w:r>
          </w:p>
        </w:tc>
        <w:tc>
          <w:tcPr>
            <w:tcW w:w="1421" w:type="dxa"/>
            <w:vAlign w:val="center"/>
          </w:tcPr>
          <w:p>
            <w:pPr>
              <w:widowControl/>
              <w:jc w:val="right"/>
              <w:rPr>
                <w:rFonts w:hint="default" w:ascii="宋体" w:hAnsi="宋体" w:eastAsia="宋体" w:cs="宋体"/>
                <w:color w:val="000000"/>
                <w:kern w:val="0"/>
                <w:sz w:val="24"/>
                <w:szCs w:val="28"/>
                <w:lang w:val="en-US" w:eastAsia="zh-CN"/>
              </w:rPr>
            </w:pPr>
            <w:r>
              <w:rPr>
                <w:rFonts w:hint="eastAsia" w:ascii="宋体" w:hAnsi="宋体" w:eastAsia="宋体" w:cs="宋体"/>
                <w:color w:val="000000"/>
                <w:kern w:val="0"/>
                <w:sz w:val="24"/>
                <w:szCs w:val="28"/>
                <w:lang w:val="en-US" w:eastAsia="zh-CN"/>
              </w:rPr>
              <w:t>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trPr>
        <w:tc>
          <w:tcPr>
            <w:tcW w:w="675" w:type="dxa"/>
            <w:vAlign w:val="center"/>
          </w:tcPr>
          <w:p>
            <w:pPr>
              <w:widowControl/>
              <w:jc w:val="center"/>
              <w:rPr>
                <w:rFonts w:hint="eastAsia" w:ascii="宋体" w:hAnsi="宋体" w:eastAsia="宋体" w:cs="宋体"/>
                <w:color w:val="000000"/>
                <w:kern w:val="0"/>
                <w:sz w:val="24"/>
                <w:szCs w:val="28"/>
                <w:lang w:val="en-US" w:eastAsia="zh-CN"/>
              </w:rPr>
            </w:pPr>
            <w:r>
              <w:rPr>
                <w:rFonts w:hint="eastAsia" w:ascii="宋体" w:hAnsi="宋体" w:eastAsia="宋体" w:cs="宋体"/>
                <w:color w:val="000000"/>
                <w:kern w:val="0"/>
                <w:sz w:val="24"/>
                <w:szCs w:val="28"/>
                <w:lang w:val="en-US" w:eastAsia="zh-CN"/>
              </w:rPr>
              <w:t>4</w:t>
            </w:r>
          </w:p>
        </w:tc>
        <w:tc>
          <w:tcPr>
            <w:tcW w:w="2694" w:type="dxa"/>
            <w:vAlign w:val="center"/>
          </w:tcPr>
          <w:p>
            <w:pPr>
              <w:widowControl/>
              <w:jc w:val="center"/>
              <w:rPr>
                <w:rFonts w:hint="default" w:ascii="宋体" w:hAnsi="宋体" w:eastAsia="宋体" w:cs="宋体"/>
                <w:color w:val="000000"/>
                <w:kern w:val="0"/>
                <w:sz w:val="24"/>
                <w:szCs w:val="28"/>
                <w:lang w:val="en-US" w:eastAsia="zh-CN"/>
              </w:rPr>
            </w:pPr>
            <w:r>
              <w:rPr>
                <w:rFonts w:hint="eastAsia" w:ascii="宋体" w:hAnsi="宋体" w:eastAsia="宋体" w:cs="宋体"/>
                <w:color w:val="000000"/>
                <w:kern w:val="0"/>
                <w:sz w:val="24"/>
                <w:szCs w:val="28"/>
                <w:lang w:val="en-US" w:eastAsia="zh-CN"/>
              </w:rPr>
              <w:t>海南杭农科技有限公司</w:t>
            </w:r>
          </w:p>
        </w:tc>
        <w:tc>
          <w:tcPr>
            <w:tcW w:w="891" w:type="dxa"/>
            <w:vAlign w:val="center"/>
          </w:tcPr>
          <w:p>
            <w:pPr>
              <w:widowControl/>
              <w:jc w:val="center"/>
              <w:rPr>
                <w:rFonts w:hint="eastAsia" w:ascii="宋体" w:hAnsi="宋体" w:eastAsia="宋体" w:cs="宋体"/>
                <w:color w:val="000000"/>
                <w:kern w:val="0"/>
                <w:sz w:val="24"/>
                <w:szCs w:val="28"/>
                <w:lang w:val="en-US" w:eastAsia="zh-CN"/>
              </w:rPr>
            </w:pPr>
            <w:r>
              <w:rPr>
                <w:rFonts w:hint="eastAsia" w:ascii="宋体" w:hAnsi="宋体" w:eastAsia="宋体" w:cs="宋体"/>
                <w:color w:val="000000"/>
                <w:kern w:val="0"/>
                <w:sz w:val="24"/>
                <w:szCs w:val="28"/>
                <w:lang w:val="en-US" w:eastAsia="zh-CN"/>
              </w:rPr>
              <w:t>2</w:t>
            </w:r>
          </w:p>
        </w:tc>
        <w:tc>
          <w:tcPr>
            <w:tcW w:w="1420" w:type="dxa"/>
            <w:vAlign w:val="center"/>
          </w:tcPr>
          <w:p>
            <w:pPr>
              <w:widowControl/>
              <w:jc w:val="right"/>
              <w:rPr>
                <w:rFonts w:hint="eastAsia" w:asciiTheme="minorEastAsia" w:hAnsiTheme="minorEastAsia" w:cstheme="minorEastAsia"/>
                <w:color w:val="000000"/>
                <w:kern w:val="0"/>
                <w:sz w:val="24"/>
                <w:szCs w:val="28"/>
              </w:rPr>
            </w:pPr>
            <w:r>
              <w:rPr>
                <w:rFonts w:hint="eastAsia" w:asciiTheme="minorEastAsia" w:hAnsiTheme="minorEastAsia" w:cstheme="minorEastAsia"/>
                <w:color w:val="000000"/>
                <w:kern w:val="0"/>
                <w:sz w:val="24"/>
                <w:szCs w:val="28"/>
              </w:rPr>
              <w:t>1416</w:t>
            </w:r>
            <w:r>
              <w:rPr>
                <w:rFonts w:hint="eastAsia" w:asciiTheme="minorEastAsia" w:hAnsiTheme="minorEastAsia" w:cstheme="minorEastAsia"/>
                <w:color w:val="000000"/>
                <w:kern w:val="0"/>
                <w:sz w:val="24"/>
                <w:szCs w:val="28"/>
                <w:lang w:val="en-US" w:eastAsia="zh-CN"/>
              </w:rPr>
              <w:t>.</w:t>
            </w:r>
            <w:r>
              <w:rPr>
                <w:rFonts w:hint="eastAsia" w:asciiTheme="minorEastAsia" w:hAnsiTheme="minorEastAsia" w:cstheme="minorEastAsia"/>
                <w:color w:val="000000"/>
                <w:kern w:val="0"/>
                <w:sz w:val="24"/>
                <w:szCs w:val="28"/>
              </w:rPr>
              <w:t>82</w:t>
            </w:r>
          </w:p>
        </w:tc>
        <w:tc>
          <w:tcPr>
            <w:tcW w:w="1421" w:type="dxa"/>
            <w:vAlign w:val="center"/>
          </w:tcPr>
          <w:p>
            <w:pPr>
              <w:widowControl/>
              <w:jc w:val="right"/>
              <w:rPr>
                <w:rFonts w:hint="eastAsia" w:asciiTheme="minorEastAsia" w:hAnsiTheme="minorEastAsia" w:eastAsiaTheme="minorEastAsia" w:cstheme="minorEastAsia"/>
                <w:color w:val="000000"/>
                <w:kern w:val="0"/>
                <w:sz w:val="24"/>
                <w:szCs w:val="28"/>
                <w:lang w:val="en-US" w:eastAsia="zh-CN"/>
              </w:rPr>
            </w:pPr>
            <w:r>
              <w:rPr>
                <w:rFonts w:hint="eastAsia" w:asciiTheme="minorEastAsia" w:hAnsiTheme="minorEastAsia" w:cstheme="minorEastAsia"/>
                <w:color w:val="000000"/>
                <w:kern w:val="0"/>
                <w:sz w:val="24"/>
                <w:szCs w:val="28"/>
                <w:lang w:val="en-US" w:eastAsia="zh-CN"/>
              </w:rPr>
              <w:t>0</w:t>
            </w:r>
          </w:p>
        </w:tc>
        <w:tc>
          <w:tcPr>
            <w:tcW w:w="1421" w:type="dxa"/>
            <w:vAlign w:val="center"/>
          </w:tcPr>
          <w:p>
            <w:pPr>
              <w:widowControl/>
              <w:jc w:val="right"/>
              <w:rPr>
                <w:rFonts w:hint="default" w:asciiTheme="minorEastAsia" w:hAnsiTheme="minorEastAsia" w:eastAsiaTheme="minorEastAsia" w:cstheme="minorEastAsia"/>
                <w:color w:val="000000"/>
                <w:kern w:val="0"/>
                <w:sz w:val="24"/>
                <w:szCs w:val="28"/>
                <w:lang w:val="en-US" w:eastAsia="zh-CN"/>
              </w:rPr>
            </w:pPr>
            <w:r>
              <w:rPr>
                <w:rFonts w:hint="eastAsia" w:asciiTheme="minorEastAsia" w:hAnsiTheme="minorEastAsia" w:cstheme="minorEastAsia"/>
                <w:color w:val="000000"/>
                <w:kern w:val="0"/>
                <w:sz w:val="24"/>
                <w:szCs w:val="28"/>
                <w:lang w:val="en-US" w:eastAsia="zh-CN"/>
              </w:rPr>
              <w:t>8.94</w:t>
            </w:r>
          </w:p>
        </w:tc>
      </w:tr>
    </w:tbl>
    <w:p>
      <w:pPr>
        <w:widowControl/>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注：以上数据来源于</w:t>
      </w:r>
      <w:r>
        <w:rPr>
          <w:rFonts w:hint="eastAsia" w:ascii="Times New Roman" w:hAnsi="Times New Roman" w:eastAsia="宋体" w:cs="Times New Roman"/>
          <w:color w:val="000000"/>
          <w:kern w:val="0"/>
          <w:sz w:val="24"/>
          <w:szCs w:val="28"/>
          <w:lang w:val="en-US" w:eastAsia="zh-CN"/>
        </w:rPr>
        <w:t>2021</w:t>
      </w:r>
      <w:r>
        <w:rPr>
          <w:rFonts w:hint="eastAsia" w:ascii="宋体" w:hAnsi="宋体" w:eastAsia="宋体" w:cs="宋体"/>
          <w:color w:val="000000"/>
          <w:kern w:val="0"/>
          <w:sz w:val="24"/>
          <w:szCs w:val="28"/>
        </w:rPr>
        <w:t>年年度财务报表</w:t>
      </w:r>
      <w:r>
        <w:rPr>
          <w:rFonts w:hint="eastAsia" w:ascii="宋体" w:hAnsi="宋体" w:eastAsia="宋体" w:cs="宋体"/>
          <w:color w:val="000000"/>
          <w:kern w:val="0"/>
          <w:sz w:val="24"/>
          <w:szCs w:val="28"/>
          <w:lang w:eastAsia="zh-CN"/>
        </w:rPr>
        <w:t>，</w:t>
      </w:r>
      <w:r>
        <w:rPr>
          <w:rFonts w:hint="eastAsia" w:ascii="宋体" w:hAnsi="宋体" w:eastAsia="宋体" w:cs="宋体"/>
          <w:color w:val="000000"/>
          <w:kern w:val="0"/>
          <w:sz w:val="24"/>
          <w:szCs w:val="28"/>
          <w:lang w:val="en-US" w:eastAsia="zh-CN"/>
        </w:rPr>
        <w:t>单位：万元</w:t>
      </w:r>
      <w:r>
        <w:rPr>
          <w:rFonts w:hint="eastAsia" w:ascii="宋体" w:hAnsi="宋体" w:eastAsia="宋体" w:cs="宋体"/>
          <w:color w:val="000000"/>
          <w:kern w:val="0"/>
          <w:sz w:val="24"/>
          <w:szCs w:val="28"/>
        </w:rPr>
        <w:t xml:space="preserve">。 </w:t>
      </w:r>
    </w:p>
    <w:p>
      <w:pPr>
        <w:widowControl/>
        <w:jc w:val="left"/>
        <w:rPr>
          <w:rFonts w:hint="eastAsia" w:ascii="宋体" w:hAnsi="宋体" w:eastAsia="宋体" w:cs="宋体"/>
          <w:color w:val="000000"/>
          <w:kern w:val="0"/>
          <w:sz w:val="24"/>
          <w:szCs w:val="28"/>
        </w:rPr>
      </w:pPr>
    </w:p>
    <w:p>
      <w:pPr>
        <w:widowControl/>
        <w:ind w:firstLine="643" w:firstLineChars="200"/>
        <w:jc w:val="left"/>
        <w:rPr>
          <w:rFonts w:ascii="宋体" w:hAnsi="宋体" w:eastAsia="宋体" w:cs="宋体"/>
          <w:b/>
          <w:color w:val="000000"/>
          <w:kern w:val="0"/>
          <w:sz w:val="32"/>
        </w:rPr>
      </w:pPr>
      <w:r>
        <w:rPr>
          <w:rFonts w:hint="eastAsia" w:ascii="宋体" w:hAnsi="宋体" w:eastAsia="宋体" w:cs="宋体"/>
          <w:b/>
          <w:color w:val="000000"/>
          <w:kern w:val="0"/>
          <w:sz w:val="32"/>
        </w:rPr>
        <w:t xml:space="preserve">二、服务内容及要求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1、中标会计师事务所须按要求出具：财务报表审计、工资审计、经营业绩、所得税汇算清缴报告、管理建议书等。被审计单位有其他服务内容要求的，则由双方协商实施。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2、中介机构开展活动，应当遵守法律、法规、规章的规定，遵守职业道德，遵循自愿、公平、诚实信用的原则。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3、服务内容主要包括：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1）根据中国注册会计师独立审计准则以及财政部关于国有企业年度会计报表审计的有关规定，由注册会计师对被审计单位的年度会计报表进行审计，会计师事务所须按照相关规定要求出具审计报告，针对企业内部控制重大缺陷等方面提供管理建议书。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2）会计师事务所要对被审计单位的合并报表发表审计意见，若有重大事项，要在审计报告中予以披露。按要求编制报表附注，并确保报表附注中披露的内容及金额与会计报表衔接一致，对关联交易事项要详细披露。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（3）根据国有资产经营管理考核的需要，企业负责人经营业绩考核、全面预算主要指标偏差度、工资总额预算、企业负责人履职待遇和业务支出等专项审计，涉税审核鉴证报告和管理建议书等内容。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（4）会计师事务所要提高服务意识，根据被审计企业日常工作的需要，加强与企业的合作，并在会计核算、税务、财经法规和经营管理等方面提供咨询服务。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4、中标单位负责做好招标人年度合并财务报表审计工作的组织协调和质量控制。 </w:t>
      </w:r>
    </w:p>
    <w:p>
      <w:pPr>
        <w:widowControl/>
        <w:spacing w:line="500" w:lineRule="exact"/>
        <w:ind w:firstLine="560" w:firstLineChars="200"/>
        <w:jc w:val="left"/>
        <w:rPr>
          <w:sz w:val="22"/>
        </w:rPr>
      </w:pPr>
      <w:r>
        <w:rPr>
          <w:rFonts w:hint="eastAsia" w:ascii="宋体" w:hAnsi="宋体" w:eastAsia="宋体" w:cs="宋体"/>
          <w:color w:val="000000"/>
          <w:kern w:val="0"/>
          <w:sz w:val="28"/>
          <w:szCs w:val="28"/>
        </w:rPr>
        <w:t>5、中标单位出具的年度财务报表审计报告中的签字注册会计师必须与其投标文件中的项目负责人及审计报告签字注册会计师履历表一致。</w:t>
      </w:r>
    </w:p>
    <w:p>
      <w:pPr>
        <w:widowControl/>
        <w:spacing w:line="500" w:lineRule="exact"/>
        <w:ind w:firstLine="640" w:firstLineChars="200"/>
        <w:jc w:val="left"/>
        <w:rPr>
          <w:sz w:val="32"/>
          <w:szCs w:val="32"/>
        </w:rPr>
      </w:pPr>
      <w:r>
        <w:rPr>
          <w:rFonts w:hint="eastAsia" w:ascii="宋体" w:hAnsi="宋体" w:eastAsia="宋体" w:cs="宋体"/>
          <w:color w:val="000000"/>
          <w:kern w:val="0"/>
          <w:sz w:val="32"/>
          <w:szCs w:val="32"/>
        </w:rPr>
        <w:t>三、</w:t>
      </w:r>
      <w:r>
        <w:rPr>
          <w:rFonts w:hint="eastAsia" w:ascii="宋体" w:hAnsi="宋体" w:eastAsia="宋体" w:cs="宋体"/>
          <w:b/>
          <w:color w:val="000000"/>
          <w:kern w:val="0"/>
          <w:sz w:val="32"/>
          <w:szCs w:val="32"/>
        </w:rPr>
        <w:t xml:space="preserve">服务人员基本素质要求：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1、项目负责人员应同时具备丰富的国有企业及资本市场服务经验，具有注册会计师资格证书并有3年以上执业资历。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2、项目实施过程中，项目团队必须具备2名及以上具有3年以上审计经验的注册会计师，主审人员必须国有企业年报审计经验；若招标人认为服务人员不能胜任或人员数量不足的，中标供应商应积极响应，按要求进行调换或增加人员以确保按时高效地完成项目。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4、关于项目的审计实施时间及后期修改要求，应积极响应招标人要求，不得故意推诿或拖延。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5、审计过程中，中标供应商应遵守保密原则，否则将承担招标人因此受到的全部损失。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6、投标人提供明确的人员，售后服务措施等。 </w:t>
      </w:r>
    </w:p>
    <w:p>
      <w:pPr>
        <w:widowControl/>
        <w:spacing w:line="500" w:lineRule="exact"/>
        <w:ind w:firstLine="643" w:firstLineChars="200"/>
        <w:jc w:val="left"/>
        <w:rPr>
          <w:sz w:val="28"/>
          <w:szCs w:val="28"/>
        </w:rPr>
      </w:pPr>
      <w:r>
        <w:rPr>
          <w:rFonts w:hint="eastAsia" w:ascii="宋体" w:hAnsi="宋体" w:eastAsia="宋体" w:cs="宋体"/>
          <w:b/>
          <w:color w:val="000000"/>
          <w:kern w:val="0"/>
          <w:sz w:val="32"/>
          <w:szCs w:val="28"/>
        </w:rPr>
        <w:t>四、服务期限及进度要求：</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服务期限：合同签订后三年，并按招标人及监管部门进度要求，完成每年的年报审计相关服务。 </w:t>
      </w:r>
    </w:p>
    <w:p>
      <w:pPr>
        <w:widowControl/>
        <w:spacing w:line="500" w:lineRule="exact"/>
        <w:ind w:firstLine="643" w:firstLineChars="200"/>
        <w:jc w:val="left"/>
        <w:rPr>
          <w:sz w:val="32"/>
          <w:szCs w:val="28"/>
        </w:rPr>
      </w:pPr>
      <w:r>
        <w:rPr>
          <w:rFonts w:hint="eastAsia" w:ascii="宋体" w:hAnsi="宋体" w:eastAsia="宋体" w:cs="宋体"/>
          <w:b/>
          <w:color w:val="000000"/>
          <w:kern w:val="0"/>
          <w:sz w:val="32"/>
          <w:szCs w:val="28"/>
        </w:rPr>
        <w:t xml:space="preserve">五、其他事项：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 xml:space="preserve">年报审计服务费采用总价包干，投标报价包括但不限于审计费、咨询费、调研费、人工费（包括人员工资、奖金、房补、劳保福利、社保、工伤费、教育培训费、暂住费及处理一切伤亡事故等费用）、食宿与交通、应缴税金和应得利润、突发应急及上级布置的专项任务、完成合同所需不可或缺的工作开支等全部费用。 </w:t>
      </w:r>
    </w:p>
    <w:p>
      <w:pPr>
        <w:widowControl/>
        <w:spacing w:line="500" w:lineRule="exact"/>
        <w:ind w:firstLine="560" w:firstLineChars="200"/>
        <w:jc w:val="left"/>
        <w:rPr>
          <w:sz w:val="28"/>
          <w:szCs w:val="28"/>
        </w:rPr>
      </w:pPr>
      <w:r>
        <w:rPr>
          <w:rFonts w:hint="eastAsia" w:ascii="宋体" w:hAnsi="宋体" w:eastAsia="宋体" w:cs="宋体"/>
          <w:color w:val="000000"/>
          <w:kern w:val="0"/>
          <w:sz w:val="28"/>
          <w:szCs w:val="28"/>
        </w:rPr>
        <w:t>会计师服务费按照服务内容的完成进度支付：审计费用在集团公司认可并收到所有审计报告后支付</w:t>
      </w:r>
      <w:r>
        <w:rPr>
          <w:rFonts w:ascii="Times New Roman" w:hAnsi="Times New Roman" w:eastAsia="宋体" w:cs="Times New Roman"/>
          <w:color w:val="000000"/>
          <w:kern w:val="0"/>
          <w:sz w:val="28"/>
          <w:szCs w:val="28"/>
        </w:rPr>
        <w:t>50%</w:t>
      </w:r>
      <w:r>
        <w:rPr>
          <w:rFonts w:hint="eastAsia" w:ascii="宋体" w:hAnsi="宋体" w:eastAsia="宋体" w:cs="宋体"/>
          <w:color w:val="000000"/>
          <w:kern w:val="0"/>
          <w:sz w:val="28"/>
          <w:szCs w:val="28"/>
        </w:rPr>
        <w:t>，</w:t>
      </w:r>
      <w:bookmarkStart w:id="0" w:name="_GoBack"/>
      <w:bookmarkEnd w:id="0"/>
      <w:r>
        <w:rPr>
          <w:rFonts w:hint="eastAsia" w:ascii="宋体" w:hAnsi="宋体" w:eastAsia="宋体" w:cs="宋体"/>
          <w:color w:val="000000"/>
          <w:kern w:val="0"/>
          <w:sz w:val="28"/>
          <w:szCs w:val="28"/>
        </w:rPr>
        <w:t>待市国资委及集团公司进行项目质量考核后支付</w:t>
      </w:r>
      <w:r>
        <w:rPr>
          <w:rFonts w:ascii="Times New Roman" w:hAnsi="Times New Roman" w:eastAsia="宋体" w:cs="Times New Roman"/>
          <w:color w:val="000000"/>
          <w:kern w:val="0"/>
          <w:sz w:val="28"/>
          <w:szCs w:val="28"/>
        </w:rPr>
        <w:t>50%</w:t>
      </w:r>
      <w:r>
        <w:rPr>
          <w:rFonts w:hint="eastAsia" w:ascii="宋体" w:hAnsi="宋体" w:eastAsia="宋体" w:cs="宋体"/>
          <w:color w:val="000000"/>
          <w:kern w:val="0"/>
          <w:sz w:val="28"/>
          <w:szCs w:val="28"/>
        </w:rPr>
        <w:t>。投标人应根据上述因素自行考虑会计师服务报价。</w:t>
      </w:r>
    </w:p>
    <w:p>
      <w:pPr>
        <w:spacing w:line="500" w:lineRule="exact"/>
        <w:rPr>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UyOGNhNGM4YjAwODMyYjBkNGU0MmQ4ZDNkOTY5ZDkifQ=="/>
  </w:docVars>
  <w:rsids>
    <w:rsidRoot w:val="0076401A"/>
    <w:rsid w:val="0020683F"/>
    <w:rsid w:val="00424228"/>
    <w:rsid w:val="00451E7F"/>
    <w:rsid w:val="00564D3E"/>
    <w:rsid w:val="00582CEC"/>
    <w:rsid w:val="0076401A"/>
    <w:rsid w:val="00882221"/>
    <w:rsid w:val="008A676B"/>
    <w:rsid w:val="00971DA2"/>
    <w:rsid w:val="00DA74D1"/>
    <w:rsid w:val="14522B71"/>
    <w:rsid w:val="45A83D12"/>
    <w:rsid w:val="4B712B01"/>
    <w:rsid w:val="4EC736B7"/>
    <w:rsid w:val="5D216594"/>
    <w:rsid w:val="64A02D0F"/>
    <w:rsid w:val="6533389F"/>
    <w:rsid w:val="6D0C611A"/>
    <w:rsid w:val="6EF22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1560</Words>
  <Characters>1636</Characters>
  <Lines>12</Lines>
  <Paragraphs>3</Paragraphs>
  <TotalTime>37</TotalTime>
  <ScaleCrop>false</ScaleCrop>
  <LinksUpToDate>false</LinksUpToDate>
  <CharactersWithSpaces>1660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2019-11-05T11:21:00Z</dcterms:created>
  <dc:creator>Lenovo</dc:creator>
  <cp:lastModifiedBy>dell-021</cp:lastModifiedBy>
  <cp:lastPrinted>2019-11-07T01:14:00Z</cp:lastPrinted>
  <dcterms:modified xsi:type="dcterms:W3CDTF">2022-10-20T08:18:14Z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FEC6B21B751244BF8DDB7E3099D5B384</vt:lpwstr>
  </property>
</Properties>
</file>